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方正小标宋简体"/>
          <w:sz w:val="36"/>
          <w:szCs w:val="30"/>
        </w:rPr>
      </w:pPr>
      <w:r>
        <w:rPr>
          <w:rFonts w:hint="eastAsia" w:ascii="黑体" w:hAnsi="黑体" w:eastAsia="黑体"/>
          <w:b/>
          <w:sz w:val="32"/>
          <w:szCs w:val="30"/>
        </w:rPr>
        <w:t>附件1</w:t>
      </w:r>
      <w:r>
        <w:rPr>
          <w:rFonts w:ascii="黑体" w:hAnsi="黑体" w:eastAsia="黑体"/>
          <w:b/>
          <w:sz w:val="40"/>
          <w:szCs w:val="30"/>
        </w:rPr>
        <w:t xml:space="preserve"> </w:t>
      </w:r>
      <w:r>
        <w:rPr>
          <w:rFonts w:eastAsia="方正小标宋简体"/>
          <w:sz w:val="36"/>
          <w:szCs w:val="30"/>
        </w:rPr>
        <w:t xml:space="preserve">             </w:t>
      </w:r>
    </w:p>
    <w:p>
      <w:pPr>
        <w:adjustRightInd w:val="0"/>
        <w:snapToGrid w:val="0"/>
        <w:spacing w:after="156" w:afterLines="50" w:line="500" w:lineRule="exact"/>
        <w:jc w:val="center"/>
        <w:rPr>
          <w:rFonts w:eastAsia="方正小标宋简体"/>
          <w:sz w:val="36"/>
          <w:szCs w:val="30"/>
        </w:rPr>
      </w:pPr>
      <w:r>
        <w:rPr>
          <w:rFonts w:eastAsia="方正小标宋简体"/>
          <w:b/>
          <w:sz w:val="36"/>
          <w:szCs w:val="30"/>
        </w:rPr>
        <w:t>高</w:t>
      </w:r>
      <w:r>
        <w:rPr>
          <w:rFonts w:hint="eastAsia" w:eastAsia="方正小标宋简体"/>
          <w:b/>
          <w:sz w:val="36"/>
          <w:szCs w:val="30"/>
        </w:rPr>
        <w:t>等</w:t>
      </w:r>
      <w:r>
        <w:rPr>
          <w:rFonts w:eastAsia="方正小标宋简体"/>
          <w:b/>
          <w:sz w:val="36"/>
          <w:szCs w:val="30"/>
        </w:rPr>
        <w:t>学校实验室安全检查项目</w:t>
      </w:r>
      <w:r>
        <w:rPr>
          <w:rFonts w:hint="eastAsia" w:eastAsia="方正小标宋简体"/>
          <w:b/>
          <w:sz w:val="36"/>
          <w:szCs w:val="30"/>
        </w:rPr>
        <w:t>表</w:t>
      </w:r>
      <w:r>
        <w:rPr>
          <w:rFonts w:eastAsia="方正小标宋简体"/>
          <w:b/>
          <w:sz w:val="36"/>
          <w:szCs w:val="30"/>
        </w:rPr>
        <w:t>（20</w:t>
      </w:r>
      <w:r>
        <w:rPr>
          <w:rFonts w:hint="eastAsia" w:eastAsia="方正小标宋简体"/>
          <w:b/>
          <w:sz w:val="36"/>
          <w:szCs w:val="30"/>
        </w:rPr>
        <w:t>20</w:t>
      </w:r>
      <w:r>
        <w:rPr>
          <w:rFonts w:eastAsia="方正小标宋简体"/>
          <w:b/>
          <w:sz w:val="36"/>
          <w:szCs w:val="30"/>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检查要点</w:t>
            </w:r>
          </w:p>
        </w:tc>
        <w:tc>
          <w:tcPr>
            <w:tcW w:w="2829"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pPr>
              <w:widowControl/>
              <w:spacing w:line="300" w:lineRule="exact"/>
              <w:rPr>
                <w:b/>
                <w:kern w:val="0"/>
                <w:szCs w:val="21"/>
              </w:rPr>
            </w:pPr>
            <w:r>
              <w:rPr>
                <w:rFonts w:hint="eastAsia"/>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w:t>
            </w:r>
          </w:p>
        </w:tc>
        <w:tc>
          <w:tcPr>
            <w:tcW w:w="3820" w:type="dxa"/>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1.1.2</w:t>
            </w:r>
          </w:p>
        </w:tc>
        <w:tc>
          <w:tcPr>
            <w:tcW w:w="3820" w:type="dxa"/>
            <w:tcMar>
              <w:left w:w="45" w:type="dxa"/>
              <w:right w:w="45" w:type="dxa"/>
            </w:tcMar>
            <w:vAlign w:val="center"/>
          </w:tcPr>
          <w:p>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3万学生规模以上且仪器设备总值超过3亿元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pPr>
              <w:widowControl/>
              <w:spacing w:line="300" w:lineRule="exact"/>
              <w:jc w:val="left"/>
              <w:rPr>
                <w:rFonts w:hint="eastAsia"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1.2.3</w:t>
            </w:r>
          </w:p>
        </w:tc>
        <w:tc>
          <w:tcPr>
            <w:tcW w:w="3820" w:type="dxa"/>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1.3.1</w:t>
            </w:r>
          </w:p>
        </w:tc>
        <w:tc>
          <w:tcPr>
            <w:tcW w:w="3820" w:type="dxa"/>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pPr>
              <w:widowControl/>
              <w:spacing w:line="300" w:lineRule="exact"/>
              <w:rPr>
                <w:b/>
                <w:bCs/>
                <w:kern w:val="0"/>
                <w:szCs w:val="21"/>
              </w:rPr>
            </w:pPr>
            <w:r>
              <w:rPr>
                <w:rFonts w:hint="eastAsia"/>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1.4.2</w:t>
            </w:r>
          </w:p>
        </w:tc>
        <w:tc>
          <w:tcPr>
            <w:tcW w:w="3820" w:type="dxa"/>
            <w:tcMar>
              <w:left w:w="45" w:type="dxa"/>
              <w:right w:w="45" w:type="dxa"/>
            </w:tcMar>
            <w:vAlign w:val="center"/>
          </w:tcPr>
          <w:p>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）或学生组成的实验室安全督查/协查队伍</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pPr>
              <w:widowControl/>
              <w:spacing w:line="300" w:lineRule="exact"/>
              <w:jc w:val="left"/>
              <w:rPr>
                <w:rFonts w:hint="eastAsia" w:eastAsia="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pPr>
              <w:widowControl/>
              <w:spacing w:line="300" w:lineRule="exact"/>
              <w:jc w:val="left"/>
              <w:rPr>
                <w:rFonts w:hint="eastAsia" w:eastAsia="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pPr>
              <w:widowControl/>
              <w:spacing w:line="300" w:lineRule="exact"/>
              <w:jc w:val="left"/>
              <w:rPr>
                <w:rFonts w:hint="eastAsia" w:eastAsia="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有校级实验室安全管理细则</w:t>
            </w:r>
          </w:p>
        </w:tc>
        <w:tc>
          <w:tcPr>
            <w:tcW w:w="7374" w:type="dxa"/>
            <w:vMerge w:val="continue"/>
            <w:tcMar>
              <w:left w:w="45" w:type="dxa"/>
              <w:right w:w="45" w:type="dxa"/>
            </w:tcMar>
            <w:vAlign w:val="center"/>
          </w:tcPr>
          <w:p>
            <w:pPr>
              <w:spacing w:line="300" w:lineRule="exact"/>
              <w:rPr>
                <w:bCs/>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3.1.2</w:t>
            </w:r>
          </w:p>
        </w:tc>
        <w:tc>
          <w:tcPr>
            <w:tcW w:w="3820" w:type="dxa"/>
            <w:tcMar>
              <w:left w:w="45" w:type="dxa"/>
              <w:right w:w="45" w:type="dxa"/>
            </w:tcMar>
            <w:vAlign w:val="center"/>
          </w:tcPr>
          <w:p>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3.1.3</w:t>
            </w:r>
          </w:p>
        </w:tc>
        <w:tc>
          <w:tcPr>
            <w:tcW w:w="3820" w:type="dxa"/>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pPr>
              <w:widowControl/>
              <w:spacing w:line="300" w:lineRule="exact"/>
              <w:jc w:val="center"/>
              <w:rPr>
                <w:rFonts w:hint="eastAsia" w:eastAsia="宋体"/>
                <w:b/>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pPr>
              <w:widowControl/>
              <w:spacing w:line="300" w:lineRule="exact"/>
              <w:jc w:val="center"/>
              <w:rPr>
                <w:rFonts w:hint="eastAsia" w:eastAsia="宋体"/>
                <w:b/>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pPr>
              <w:widowControl/>
              <w:spacing w:line="300" w:lineRule="exact"/>
              <w:jc w:val="center"/>
              <w:rPr>
                <w:rFonts w:hint="eastAsia" w:eastAsia="宋体"/>
                <w:b/>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pPr>
              <w:widowControl/>
              <w:spacing w:line="300" w:lineRule="exact"/>
              <w:jc w:val="left"/>
              <w:rPr>
                <w:rFonts w:hint="eastAsia"/>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pPr>
              <w:spacing w:line="300" w:lineRule="exact"/>
              <w:jc w:val="left"/>
              <w:rPr>
                <w:kern w:val="0"/>
                <w:szCs w:val="21"/>
              </w:rPr>
            </w:pPr>
            <w:r>
              <w:rPr>
                <w:rFonts w:hint="eastAsia"/>
                <w:bCs/>
                <w:kern w:val="0"/>
                <w:szCs w:val="21"/>
              </w:rPr>
              <w:t>学校层面开展定期/不定期检查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每年不少于4次，并记录存档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每月不少于1次，并记录存档</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szCs w:val="21"/>
              </w:rPr>
            </w:pPr>
            <w:r>
              <w:rPr>
                <w:rFonts w:hint="eastAsia" w:eastAsia="等线"/>
                <w:szCs w:val="21"/>
              </w:rPr>
              <w:t>5</w:t>
            </w:r>
            <w:r>
              <w:rPr>
                <w:rFonts w:eastAsia="等线"/>
                <w:szCs w:val="21"/>
              </w:rPr>
              <w:t>.1.1</w:t>
            </w:r>
          </w:p>
        </w:tc>
        <w:tc>
          <w:tcPr>
            <w:tcW w:w="3820" w:type="dxa"/>
            <w:tcMar>
              <w:left w:w="45" w:type="dxa"/>
              <w:right w:w="45" w:type="dxa"/>
            </w:tcMar>
            <w:vAlign w:val="center"/>
          </w:tcPr>
          <w:p>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平方米以上实验室要有两个出入口；实验楼大走廊保证留有大于2米净宽的消防通道；实验室</w:t>
            </w:r>
            <w:r>
              <w:rPr>
                <w:szCs w:val="21"/>
              </w:rPr>
              <w:t>操作区层高不低于</w:t>
            </w:r>
            <w:r>
              <w:rPr>
                <w:rFonts w:hint="eastAsia"/>
                <w:szCs w:val="21"/>
              </w:rPr>
              <w:t>2米；理工农医类实验室人均面积不小于2.5平方米</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5.1.3</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5.1.4</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szCs w:val="21"/>
              </w:rPr>
            </w:pPr>
            <w:r>
              <w:rPr>
                <w:rFonts w:eastAsia="等线"/>
                <w:szCs w:val="21"/>
              </w:rPr>
              <w:t>5.1.</w:t>
            </w:r>
            <w:r>
              <w:rPr>
                <w:rFonts w:hint="eastAsia" w:eastAsia="等线"/>
                <w:szCs w:val="21"/>
              </w:rPr>
              <w:t>5</w:t>
            </w:r>
          </w:p>
        </w:tc>
        <w:tc>
          <w:tcPr>
            <w:tcW w:w="3820" w:type="dxa"/>
            <w:tcMar>
              <w:left w:w="45" w:type="dxa"/>
              <w:right w:w="45" w:type="dxa"/>
            </w:tcMar>
            <w:vAlign w:val="center"/>
          </w:tcPr>
          <w:p>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pPr>
              <w:widowControl/>
              <w:spacing w:line="300" w:lineRule="exact"/>
              <w:jc w:val="left"/>
              <w:rPr>
                <w:rFonts w:hint="eastAsia" w:eastAsia="宋体"/>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5.1.6</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；易对外产生磁场或易受磁场干扰的设备，需做好磁屏蔽；实验室噪声一般不高于55分贝（机械设备不高于70分贝）</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pPr>
              <w:spacing w:line="300" w:lineRule="exact"/>
              <w:jc w:val="left"/>
              <w:rPr>
                <w:rFonts w:hint="eastAsia" w:eastAsia="宋体"/>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2</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pPr>
              <w:spacing w:line="300" w:lineRule="exact"/>
              <w:jc w:val="left"/>
              <w:rPr>
                <w:rFonts w:hint="eastAsia" w:eastAsia="宋体"/>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pPr>
              <w:spacing w:line="300" w:lineRule="exact"/>
              <w:jc w:val="left"/>
              <w:rPr>
                <w:rFonts w:hint="eastAsia" w:eastAsia="宋体"/>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.3</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pPr>
              <w:spacing w:line="300" w:lineRule="exact"/>
              <w:jc w:val="left"/>
              <w:rPr>
                <w:rFonts w:hint="eastAsia" w:eastAsia="宋体"/>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.3</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rFonts w:hint="eastAsia" w:eastAsia="宋体"/>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pPr>
              <w:spacing w:line="300" w:lineRule="exact"/>
              <w:jc w:val="left"/>
              <w:rPr>
                <w:rFonts w:hint="eastAsia" w:eastAsia="宋体"/>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.3</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rFonts w:hint="eastAsia" w:eastAsia="宋体"/>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烟感</w:t>
            </w:r>
            <w:r>
              <w:rPr>
                <w:rFonts w:ascii="宋体" w:hAnsi="宋体"/>
                <w:kern w:val="0"/>
                <w:szCs w:val="21"/>
              </w:rPr>
              <w:t>报警器、</w:t>
            </w:r>
            <w:r>
              <w:rPr>
                <w:rFonts w:hint="eastAsia" w:ascii="宋体" w:hAnsi="宋体"/>
                <w:kern w:val="0"/>
                <w:szCs w:val="21"/>
              </w:rPr>
              <w:t>灭火器、灭火毯、消防沙、消防喷淋等，应正常有效、</w:t>
            </w:r>
            <w:r>
              <w:rPr>
                <w:rFonts w:ascii="宋体" w:hAnsi="宋体"/>
                <w:kern w:val="0"/>
                <w:szCs w:val="21"/>
              </w:rPr>
              <w:t>方便取用</w:t>
            </w:r>
            <w:r>
              <w:rPr>
                <w:rFonts w:hint="eastAsia" w:ascii="宋体" w:hAnsi="宋体"/>
                <w:kern w:val="0"/>
                <w:szCs w:val="21"/>
              </w:rPr>
              <w:t>；灭火器种类配置正确；灭火器在有效期内（压力指针</w:t>
            </w:r>
            <w:r>
              <w:rPr>
                <w:rFonts w:ascii="宋体" w:hAnsi="宋体"/>
                <w:kern w:val="0"/>
                <w:szCs w:val="21"/>
              </w:rPr>
              <w:t>位置</w:t>
            </w:r>
            <w:r>
              <w:rPr>
                <w:rFonts w:hint="eastAsia" w:ascii="宋体" w:hAnsi="宋体"/>
                <w:kern w:val="0"/>
                <w:szCs w:val="21"/>
              </w:rPr>
              <w:t>正常等），安全销（拉针）正常，瓶身无破损、腐蚀</w:t>
            </w:r>
          </w:p>
        </w:tc>
        <w:tc>
          <w:tcPr>
            <w:tcW w:w="2829" w:type="dxa"/>
            <w:tcMar>
              <w:left w:w="45" w:type="dxa"/>
              <w:right w:w="45" w:type="dxa"/>
            </w:tcMar>
            <w:vAlign w:val="center"/>
          </w:tcPr>
          <w:p>
            <w:pPr>
              <w:widowControl/>
              <w:spacing w:line="300" w:lineRule="exact"/>
              <w:jc w:val="left"/>
              <w:rPr>
                <w:rFonts w:hint="eastAsia" w:ascii="宋体" w:hAnsi="宋体"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w:t>
            </w:r>
            <w:r>
              <w:rPr>
                <w:rFonts w:hint="eastAsia" w:eastAsia="等线"/>
                <w:szCs w:val="21"/>
              </w:rPr>
              <w:t>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紧急逃生疏散路线通畅</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pPr>
              <w:widowControl/>
              <w:spacing w:line="300" w:lineRule="exact"/>
              <w:jc w:val="left"/>
              <w:rPr>
                <w:rFonts w:hint="eastAsia" w:ascii="宋体" w:hAnsi="宋体"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有显著引导标识</w:t>
            </w:r>
          </w:p>
        </w:tc>
        <w:tc>
          <w:tcPr>
            <w:tcW w:w="2829" w:type="dxa"/>
            <w:tcMar>
              <w:left w:w="45" w:type="dxa"/>
              <w:right w:w="45" w:type="dxa"/>
            </w:tcMar>
            <w:vAlign w:val="center"/>
          </w:tcPr>
          <w:p>
            <w:pPr>
              <w:widowControl/>
              <w:spacing w:line="300" w:lineRule="exact"/>
              <w:jc w:val="left"/>
              <w:rPr>
                <w:rFonts w:hint="default" w:ascii="宋体" w:hAnsi="宋体"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-10厘米），</w:t>
            </w:r>
            <w:r>
              <w:rPr>
                <w:rFonts w:hint="eastAsia" w:ascii="宋体" w:hAnsi="宋体"/>
                <w:bCs/>
                <w:kern w:val="0"/>
                <w:szCs w:val="21"/>
              </w:rPr>
              <w:t>水流畅通平稳</w:t>
            </w:r>
          </w:p>
        </w:tc>
        <w:tc>
          <w:tcPr>
            <w:tcW w:w="2829" w:type="dxa"/>
            <w:tcMar>
              <w:left w:w="45" w:type="dxa"/>
              <w:right w:w="45" w:type="dxa"/>
            </w:tcMar>
            <w:vAlign w:val="center"/>
          </w:tcPr>
          <w:p>
            <w:pPr>
              <w:widowControl/>
              <w:spacing w:line="300" w:lineRule="exact"/>
              <w:jc w:val="left"/>
              <w:rPr>
                <w:rFonts w:hint="eastAsia" w:ascii="宋体" w:hAnsi="宋体"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6.2.3</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829" w:type="dxa"/>
            <w:tcMar>
              <w:left w:w="45" w:type="dxa"/>
              <w:right w:w="45" w:type="dxa"/>
            </w:tcMar>
            <w:vAlign w:val="center"/>
          </w:tcPr>
          <w:p>
            <w:pPr>
              <w:widowControl/>
              <w:spacing w:line="300" w:lineRule="exact"/>
              <w:jc w:val="left"/>
              <w:rPr>
                <w:rFonts w:hint="eastAsia" w:ascii="宋体" w:hAnsi="宋体"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配备符合</w:t>
            </w:r>
            <w:r>
              <w:rPr>
                <w:rFonts w:hint="eastAsia" w:ascii="宋体" w:hAnsi="宋体"/>
                <w:kern w:val="0"/>
                <w:szCs w:val="21"/>
              </w:rPr>
              <w:t>设计规范</w:t>
            </w:r>
            <w:r>
              <w:rPr>
                <w:rFonts w:ascii="宋体" w:hAnsi="宋体"/>
                <w:kern w:val="0"/>
                <w:szCs w:val="21"/>
              </w:rPr>
              <w:t>的通风系统</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风速0.</w:t>
            </w:r>
            <w:r>
              <w:rPr>
                <w:rFonts w:ascii="宋体" w:hAnsi="宋体"/>
                <w:kern w:val="0"/>
                <w:szCs w:val="21"/>
              </w:rPr>
              <w:t>3</w:t>
            </w:r>
            <w:r>
              <w:rPr>
                <w:rFonts w:hint="eastAsia" w:ascii="宋体" w:hAnsi="宋体"/>
                <w:kern w:val="0"/>
                <w:szCs w:val="21"/>
              </w:rPr>
              <w:t>5-0.</w:t>
            </w:r>
            <w:r>
              <w:rPr>
                <w:rFonts w:ascii="宋体" w:hAnsi="宋体"/>
                <w:kern w:val="0"/>
                <w:szCs w:val="21"/>
              </w:rPr>
              <w:t>7</w:t>
            </w:r>
            <w:r>
              <w:rPr>
                <w:rFonts w:hint="eastAsia" w:ascii="宋体" w:hAnsi="宋体"/>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pPr>
              <w:widowControl/>
              <w:spacing w:line="300" w:lineRule="exact"/>
              <w:jc w:val="left"/>
              <w:rPr>
                <w:rFonts w:hint="eastAsia" w:ascii="宋体" w:hAnsi="宋体"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通风橱的配置合理、使用正常、操作合规</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根据需要在通风橱管路上安装有毒有害气体的吸附或处理装置（如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hint="eastAsia" w:ascii="宋体" w:hAnsi="宋体"/>
                <w:kern w:val="0"/>
                <w:szCs w:val="21"/>
              </w:rPr>
              <w:t>15厘米，保持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hint="eastAsia" w:ascii="宋体" w:hAnsi="宋体"/>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pPr>
              <w:widowControl/>
              <w:spacing w:line="300" w:lineRule="exact"/>
              <w:jc w:val="left"/>
              <w:rPr>
                <w:rFonts w:hint="eastAsia" w:ascii="宋体" w:hAnsi="宋体"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重点</w:t>
            </w:r>
            <w:r>
              <w:rPr>
                <w:rFonts w:ascii="宋体" w:hAnsi="宋体"/>
                <w:szCs w:val="21"/>
              </w:rPr>
              <w:t>场所</w:t>
            </w:r>
            <w:r>
              <w:rPr>
                <w:rFonts w:hint="eastAsia" w:ascii="宋体" w:hAnsi="宋体"/>
                <w:szCs w:val="21"/>
              </w:rPr>
              <w:t>需安装门禁和监控设施，并有专人管理</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关注重点场所</w:t>
            </w:r>
            <w:r>
              <w:rPr>
                <w:rFonts w:ascii="宋体" w:hAnsi="宋体"/>
                <w:szCs w:val="21"/>
              </w:rPr>
              <w:t>，如</w:t>
            </w:r>
            <w:r>
              <w:rPr>
                <w:rFonts w:hint="eastAsia" w:ascii="宋体" w:hAnsi="宋体"/>
                <w:szCs w:val="21"/>
              </w:rPr>
              <w:t>剧毒品、放射源存放点等危险源的管理</w:t>
            </w:r>
          </w:p>
        </w:tc>
        <w:tc>
          <w:tcPr>
            <w:tcW w:w="2829" w:type="dxa"/>
            <w:tcMar>
              <w:left w:w="45" w:type="dxa"/>
              <w:right w:w="45" w:type="dxa"/>
            </w:tcMar>
            <w:vAlign w:val="center"/>
          </w:tcPr>
          <w:p>
            <w:pPr>
              <w:widowControl/>
              <w:spacing w:line="300" w:lineRule="exact"/>
              <w:jc w:val="left"/>
              <w:rPr>
                <w:rFonts w:hint="eastAsia" w:ascii="宋体" w:hAnsi="宋体"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829" w:type="dxa"/>
            <w:tcMar>
              <w:left w:w="45" w:type="dxa"/>
              <w:right w:w="45" w:type="dxa"/>
            </w:tcMar>
            <w:vAlign w:val="center"/>
          </w:tcPr>
          <w:p>
            <w:pPr>
              <w:widowControl/>
              <w:spacing w:line="300" w:lineRule="exact"/>
              <w:jc w:val="left"/>
              <w:rPr>
                <w:rFonts w:hint="eastAsia" w:ascii="宋体" w:hAnsi="宋体"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6.5.1</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有防爆需求</w:t>
            </w:r>
            <w:r>
              <w:rPr>
                <w:rFonts w:ascii="宋体" w:hAnsi="宋体"/>
                <w:szCs w:val="21"/>
              </w:rPr>
              <w:t>的</w:t>
            </w:r>
            <w:r>
              <w:rPr>
                <w:rFonts w:hint="eastAsia" w:ascii="宋体" w:hAnsi="宋体"/>
                <w:szCs w:val="21"/>
              </w:rPr>
              <w:t>实验室需符合防爆设计要求</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pPr>
              <w:widowControl/>
              <w:spacing w:line="300" w:lineRule="exact"/>
              <w:jc w:val="left"/>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6.5.2</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tcMar>
              <w:left w:w="45" w:type="dxa"/>
              <w:right w:w="45" w:type="dxa"/>
            </w:tcMar>
            <w:vAlign w:val="center"/>
          </w:tcPr>
          <w:p>
            <w:pPr>
              <w:widowControl/>
              <w:spacing w:line="300" w:lineRule="exact"/>
              <w:jc w:val="left"/>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8.2.1</w:t>
            </w:r>
          </w:p>
        </w:tc>
        <w:tc>
          <w:tcPr>
            <w:tcW w:w="3820" w:type="dxa"/>
            <w:tcMar>
              <w:left w:w="45" w:type="dxa"/>
              <w:right w:w="45" w:type="dxa"/>
            </w:tcMar>
            <w:vAlign w:val="center"/>
          </w:tcPr>
          <w:p>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pPr>
              <w:widowControl/>
              <w:spacing w:line="300" w:lineRule="exact"/>
              <w:jc w:val="left"/>
              <w:rPr>
                <w:bCs/>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pPr>
              <w:widowControl/>
              <w:spacing w:line="300" w:lineRule="exact"/>
              <w:jc w:val="left"/>
              <w:rPr>
                <w:rFonts w:hint="eastAsia" w:eastAsia="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管制类化学品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pPr>
              <w:widowControl/>
              <w:spacing w:line="300" w:lineRule="exact"/>
              <w:jc w:val="left"/>
              <w:rPr>
                <w:bCs/>
                <w:kern w:val="0"/>
                <w:szCs w:val="21"/>
              </w:rPr>
            </w:pPr>
            <w:r>
              <w:rPr>
                <w:kern w:val="0"/>
                <w:szCs w:val="21"/>
              </w:rPr>
              <w:t>其中第一类易制毒品实行“五双”管理制度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不超过30平方米；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pPr>
              <w:widowControl/>
              <w:spacing w:line="300" w:lineRule="exact"/>
              <w:jc w:val="left"/>
              <w:rPr>
                <w:rFonts w:hint="eastAsia" w:eastAsia="宋体"/>
                <w:bCs/>
                <w:kern w:val="0"/>
                <w:szCs w:val="21"/>
                <w:lang w:eastAsia="zh-CN"/>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pPr>
              <w:widowControl/>
              <w:spacing w:line="300" w:lineRule="exact"/>
              <w:jc w:val="center"/>
              <w:rPr>
                <w:rFonts w:hint="eastAsia" w:eastAsia="宋体"/>
                <w:b/>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pPr>
              <w:widowControl/>
              <w:spacing w:line="300" w:lineRule="exact"/>
              <w:jc w:val="left"/>
              <w:rPr>
                <w:bCs/>
                <w:kern w:val="0"/>
                <w:szCs w:val="21"/>
              </w:rPr>
            </w:pPr>
            <w:r>
              <w:rPr>
                <w:kern w:val="0"/>
                <w:szCs w:val="21"/>
              </w:rPr>
              <w:t>开展未经灭活的高致病性病原微生物（列入一类、二类）相关实验和研究，必须在BSL-3/ABSL-3、BSL-4/ABSL-4实验室中进行</w:t>
            </w:r>
            <w:r>
              <w:rPr>
                <w:rFonts w:hint="eastAsia"/>
                <w:kern w:val="0"/>
                <w:szCs w:val="21"/>
              </w:rPr>
              <w:t>；</w:t>
            </w: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pPr>
              <w:widowControl/>
              <w:spacing w:line="300" w:lineRule="exact"/>
              <w:jc w:val="center"/>
              <w:rPr>
                <w:rFonts w:hint="eastAsia" w:eastAsia="宋体"/>
                <w:b/>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9.2.1</w:t>
            </w:r>
          </w:p>
        </w:tc>
        <w:tc>
          <w:tcPr>
            <w:tcW w:w="3820" w:type="dxa"/>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pPr>
              <w:widowControl/>
              <w:spacing w:line="300" w:lineRule="exact"/>
              <w:jc w:val="center"/>
              <w:rPr>
                <w:rFonts w:hint="eastAsia" w:eastAsia="宋体"/>
                <w:b/>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pPr>
              <w:widowControl/>
              <w:spacing w:line="300" w:lineRule="exact"/>
              <w:jc w:val="center"/>
              <w:rPr>
                <w:rFonts w:hint="eastAsia" w:eastAsia="宋体"/>
                <w:b/>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pPr>
              <w:widowControl/>
              <w:spacing w:line="300" w:lineRule="exact"/>
              <w:jc w:val="center"/>
              <w:rPr>
                <w:rFonts w:hint="eastAsia" w:eastAsia="宋体"/>
                <w:b/>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pPr>
              <w:widowControl/>
              <w:spacing w:line="300" w:lineRule="exact"/>
              <w:jc w:val="center"/>
              <w:rPr>
                <w:rFonts w:hint="eastAsia" w:eastAsia="宋体"/>
                <w:b/>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10.1.1</w:t>
            </w:r>
          </w:p>
        </w:tc>
        <w:tc>
          <w:tcPr>
            <w:tcW w:w="3820" w:type="dxa"/>
            <w:tcMar>
              <w:left w:w="45" w:type="dxa"/>
              <w:right w:w="45" w:type="dxa"/>
            </w:tcMar>
            <w:vAlign w:val="center"/>
          </w:tcPr>
          <w:p>
            <w:pPr>
              <w:widowControl/>
              <w:spacing w:line="300" w:lineRule="exact"/>
              <w:rPr>
                <w:b/>
                <w:kern w:val="0"/>
                <w:szCs w:val="21"/>
              </w:rPr>
            </w:pPr>
            <w:r>
              <w:rPr>
                <w:rFonts w:hint="eastAsia"/>
                <w:szCs w:val="21"/>
              </w:rPr>
              <w:t>涉源</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（4年</w:t>
            </w:r>
            <w:r>
              <w:rPr>
                <w:kern w:val="0"/>
                <w:szCs w:val="21"/>
              </w:rPr>
              <w:t>复训</w:t>
            </w:r>
            <w:r>
              <w:rPr>
                <w:rFonts w:hint="eastAsia"/>
                <w:kern w:val="0"/>
                <w:szCs w:val="21"/>
              </w:rPr>
              <w:t>1次），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单位按时进行剂量检测（3个月一次）</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pPr>
              <w:widowControl/>
              <w:spacing w:line="300" w:lineRule="exact"/>
              <w:jc w:val="left"/>
              <w:rPr>
                <w:rFonts w:hint="eastAsia" w:eastAsia="宋体"/>
                <w:b/>
                <w:kern w:val="0"/>
                <w:szCs w:val="21"/>
                <w:lang w:eastAsia="zh-CN"/>
              </w:rPr>
            </w:pPr>
            <w:r>
              <w:rPr>
                <w:b/>
                <w:kern w:val="0"/>
                <w:szCs w:val="21"/>
              </w:rPr>
              <w:t>场所设施</w:t>
            </w:r>
            <w:r>
              <w:rPr>
                <w:rFonts w:hint="eastAsia"/>
                <w:b/>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中、长半衰期核素固液废弃物有符合国家相关规定的处置方案或回收协议，短半衰期核素固液废弃物放置10个半衰期经检测达标后作为普通废物处理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pPr>
              <w:widowControl/>
              <w:spacing w:line="300" w:lineRule="exact"/>
              <w:jc w:val="center"/>
              <w:rPr>
                <w:rFonts w:hint="eastAsia" w:eastAsia="宋体"/>
                <w:b/>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pPr>
              <w:widowControl/>
              <w:spacing w:line="300" w:lineRule="exact"/>
              <w:jc w:val="center"/>
              <w:rPr>
                <w:rFonts w:hint="eastAsia" w:eastAsia="宋体"/>
                <w:b/>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仪器设备接地系统应按规范要求，采用铜质材料，接地电阻不高于0.5欧；电脑、空调、电加热器、饮水机等不随意开机过夜；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pPr>
              <w:widowControl/>
              <w:spacing w:line="300" w:lineRule="exact"/>
              <w:jc w:val="center"/>
              <w:rPr>
                <w:rFonts w:hint="eastAsia" w:eastAsia="宋体"/>
                <w:b/>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11.1.4</w:t>
            </w:r>
          </w:p>
        </w:tc>
        <w:tc>
          <w:tcPr>
            <w:tcW w:w="3820" w:type="dxa"/>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szCs w:val="21"/>
              </w:rPr>
            </w:pPr>
            <w:r>
              <w:rPr>
                <w:rFonts w:hint="eastAsia"/>
                <w:kern w:val="0"/>
                <w:szCs w:val="21"/>
              </w:rPr>
              <w:t>11.2.4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粉尘浓度较高的场所，有加湿装置（喷雾）使湿度在65%以上；配备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0.1兆帕且</w:t>
            </w:r>
            <w:r>
              <w:rPr>
                <w:kern w:val="0"/>
                <w:szCs w:val="21"/>
              </w:rPr>
              <w:t>容积大于</w:t>
            </w:r>
            <w:r>
              <w:rPr>
                <w:rFonts w:hint="eastAsia"/>
                <w:kern w:val="0"/>
                <w:szCs w:val="21"/>
              </w:rPr>
              <w:t>30公升的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pPr>
              <w:widowControl/>
              <w:spacing w:line="300" w:lineRule="exact"/>
              <w:jc w:val="left"/>
              <w:rPr>
                <w:kern w:val="0"/>
                <w:szCs w:val="21"/>
              </w:rPr>
            </w:pPr>
            <w:r>
              <w:rPr>
                <w:kern w:val="0"/>
                <w:szCs w:val="21"/>
              </w:rPr>
              <w:t>操作人员持证上岗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pPr>
              <w:widowControl/>
              <w:spacing w:line="300" w:lineRule="exact"/>
              <w:jc w:val="left"/>
              <w:rPr>
                <w:kern w:val="0"/>
                <w:szCs w:val="21"/>
              </w:rPr>
            </w:pP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pPr>
              <w:widowControl/>
              <w:spacing w:line="300" w:lineRule="exact"/>
              <w:jc w:val="left"/>
              <w:rPr>
                <w:rFonts w:hint="eastAsia" w:eastAsia="宋体"/>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pPr>
              <w:widowControl/>
              <w:spacing w:line="300" w:lineRule="exact"/>
              <w:jc w:val="left"/>
              <w:rPr>
                <w:rFonts w:hint="default"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pPr>
              <w:widowControl/>
              <w:spacing w:line="300" w:lineRule="exact"/>
              <w:jc w:val="left"/>
              <w:rPr>
                <w:rFonts w:hint="eastAsia" w:eastAsia="宋体"/>
                <w:kern w:val="0"/>
                <w:szCs w:val="21"/>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rFonts w:hint="default" w:eastAsia="宋体"/>
                <w:kern w:val="0"/>
                <w:szCs w:val="21"/>
                <w:lang w:val="en-US" w:eastAsia="zh-CN"/>
              </w:rPr>
            </w:pPr>
          </w:p>
        </w:tc>
      </w:tr>
    </w:tbl>
    <w:p>
      <w:pPr>
        <w:adjustRightInd w:val="0"/>
        <w:snapToGrid w:val="0"/>
        <w:spacing w:before="156" w:beforeLines="50"/>
        <w:jc w:val="left"/>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ºÚÌå">
    <w:altName w:val="Arial"/>
    <w:panose1 w:val="00000000000000000000"/>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18</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FBA"/>
    <w:rsid w:val="00281C08"/>
    <w:rsid w:val="0028289C"/>
    <w:rsid w:val="00282D6E"/>
    <w:rsid w:val="00283339"/>
    <w:rsid w:val="0028528B"/>
    <w:rsid w:val="00285831"/>
    <w:rsid w:val="00290798"/>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3D8"/>
    <w:rsid w:val="00D14B0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D7F"/>
    <w:rsid w:val="00EE31CB"/>
    <w:rsid w:val="00EE3F04"/>
    <w:rsid w:val="00EE6178"/>
    <w:rsid w:val="00EE6541"/>
    <w:rsid w:val="00EE6C14"/>
    <w:rsid w:val="00EE7424"/>
    <w:rsid w:val="00EE7F4E"/>
    <w:rsid w:val="00EF0CC4"/>
    <w:rsid w:val="00EF340F"/>
    <w:rsid w:val="00EF4142"/>
    <w:rsid w:val="00EF533D"/>
    <w:rsid w:val="00EF5FC4"/>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6294C07"/>
    <w:rsid w:val="09630209"/>
    <w:rsid w:val="0D9C70D9"/>
    <w:rsid w:val="0DE7465B"/>
    <w:rsid w:val="10185A7B"/>
    <w:rsid w:val="12C50C1A"/>
    <w:rsid w:val="17F301A9"/>
    <w:rsid w:val="19EF1374"/>
    <w:rsid w:val="1A344A2C"/>
    <w:rsid w:val="1A95003E"/>
    <w:rsid w:val="1B813CE0"/>
    <w:rsid w:val="200643E5"/>
    <w:rsid w:val="22624C8B"/>
    <w:rsid w:val="2F7A734E"/>
    <w:rsid w:val="37672FB0"/>
    <w:rsid w:val="381C5B0D"/>
    <w:rsid w:val="3A8F55CD"/>
    <w:rsid w:val="3B537E3D"/>
    <w:rsid w:val="3FEB7FFF"/>
    <w:rsid w:val="40482E6A"/>
    <w:rsid w:val="4DDB6F48"/>
    <w:rsid w:val="4DF0361D"/>
    <w:rsid w:val="4E9F73FB"/>
    <w:rsid w:val="4F5163FB"/>
    <w:rsid w:val="5172570A"/>
    <w:rsid w:val="52C771B4"/>
    <w:rsid w:val="54E86EE4"/>
    <w:rsid w:val="55AC4B21"/>
    <w:rsid w:val="5AA727CA"/>
    <w:rsid w:val="5CF01AC2"/>
    <w:rsid w:val="5D4E5899"/>
    <w:rsid w:val="60895EF6"/>
    <w:rsid w:val="612748DD"/>
    <w:rsid w:val="63F60F25"/>
    <w:rsid w:val="64BC1934"/>
    <w:rsid w:val="68CE4C4D"/>
    <w:rsid w:val="69955344"/>
    <w:rsid w:val="6B5A63A7"/>
    <w:rsid w:val="6B6507A9"/>
    <w:rsid w:val="6C555476"/>
    <w:rsid w:val="6F376AE5"/>
    <w:rsid w:val="6F581245"/>
    <w:rsid w:val="747B6D6D"/>
    <w:rsid w:val="75171DCD"/>
    <w:rsid w:val="7C7D2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0"/>
    <w:semiHidden/>
    <w:qFormat/>
    <w:uiPriority w:val="0"/>
    <w:rPr>
      <w:rFonts w:ascii="宋体"/>
      <w:kern w:val="0"/>
      <w:sz w:val="18"/>
      <w:szCs w:val="18"/>
    </w:rPr>
  </w:style>
  <w:style w:type="paragraph" w:styleId="6">
    <w:name w:val="annotation text"/>
    <w:basedOn w:val="1"/>
    <w:link w:val="44"/>
    <w:qFormat/>
    <w:uiPriority w:val="0"/>
    <w:pPr>
      <w:spacing w:line="460" w:lineRule="exact"/>
      <w:jc w:val="left"/>
    </w:pPr>
    <w:rPr>
      <w:rFonts w:ascii="Calibri" w:hAnsi="Calibri"/>
      <w:szCs w:val="21"/>
    </w:rPr>
  </w:style>
  <w:style w:type="paragraph" w:styleId="7">
    <w:name w:val="Body Text"/>
    <w:basedOn w:val="1"/>
    <w:link w:val="48"/>
    <w:qFormat/>
    <w:uiPriority w:val="0"/>
    <w:pPr>
      <w:spacing w:line="380" w:lineRule="exact"/>
    </w:pPr>
    <w:rPr>
      <w:rFonts w:eastAsia="仿宋_GB2312"/>
      <w:sz w:val="28"/>
      <w:szCs w:val="20"/>
    </w:rPr>
  </w:style>
  <w:style w:type="paragraph" w:styleId="8">
    <w:name w:val="Body Text Indent"/>
    <w:basedOn w:val="1"/>
    <w:link w:val="37"/>
    <w:qFormat/>
    <w:uiPriority w:val="0"/>
    <w:pPr>
      <w:spacing w:line="460" w:lineRule="exact"/>
      <w:ind w:firstLine="630"/>
    </w:pPr>
    <w:rPr>
      <w:rFonts w:ascii="仿宋_GB2312" w:eastAsia="仿宋_GB2312"/>
      <w:sz w:val="32"/>
      <w:szCs w:val="20"/>
    </w:rPr>
  </w:style>
  <w:style w:type="paragraph" w:styleId="9">
    <w:name w:val="Plain Text"/>
    <w:basedOn w:val="1"/>
    <w:link w:val="43"/>
    <w:qFormat/>
    <w:uiPriority w:val="0"/>
    <w:pPr>
      <w:spacing w:line="460" w:lineRule="exact"/>
    </w:pPr>
    <w:rPr>
      <w:rFonts w:ascii="宋体" w:hAnsi="Courier New"/>
      <w:szCs w:val="20"/>
    </w:rPr>
  </w:style>
  <w:style w:type="paragraph" w:styleId="10">
    <w:name w:val="Date"/>
    <w:basedOn w:val="1"/>
    <w:next w:val="1"/>
    <w:link w:val="47"/>
    <w:qFormat/>
    <w:uiPriority w:val="0"/>
    <w:pPr>
      <w:ind w:left="100" w:leftChars="2500"/>
    </w:pPr>
    <w:rPr>
      <w:kern w:val="0"/>
      <w:sz w:val="24"/>
    </w:rPr>
  </w:style>
  <w:style w:type="paragraph" w:styleId="11">
    <w:name w:val="Body Text Indent 2"/>
    <w:basedOn w:val="1"/>
    <w:link w:val="41"/>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2"/>
    <w:semiHidden/>
    <w:qFormat/>
    <w:uiPriority w:val="0"/>
    <w:rPr>
      <w:kern w:val="0"/>
      <w:sz w:val="18"/>
      <w:szCs w:val="18"/>
    </w:rPr>
  </w:style>
  <w:style w:type="paragraph" w:styleId="13">
    <w:name w:val="footer"/>
    <w:basedOn w:val="1"/>
    <w:link w:val="49"/>
    <w:qFormat/>
    <w:uiPriority w:val="99"/>
    <w:pPr>
      <w:tabs>
        <w:tab w:val="center" w:pos="4153"/>
        <w:tab w:val="right" w:pos="8306"/>
      </w:tabs>
      <w:snapToGrid w:val="0"/>
      <w:jc w:val="left"/>
    </w:pPr>
    <w:rPr>
      <w:kern w:val="0"/>
      <w:sz w:val="18"/>
      <w:szCs w:val="18"/>
    </w:rPr>
  </w:style>
  <w:style w:type="paragraph" w:styleId="14">
    <w:name w:val="header"/>
    <w:basedOn w:val="1"/>
    <w:link w:val="46"/>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39"/>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0"/>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1"/>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rFonts w:cs="Times New Roman"/>
    </w:rPr>
  </w:style>
  <w:style w:type="character" w:styleId="22">
    <w:name w:val="FollowedHyperlink"/>
    <w:qFormat/>
    <w:uiPriority w:val="0"/>
    <w:rPr>
      <w:rFonts w:cs="Times New Roman"/>
      <w:color w:val="800080"/>
      <w:u w:val="single"/>
    </w:rPr>
  </w:style>
  <w:style w:type="character" w:styleId="23">
    <w:name w:val="Hyperlink"/>
    <w:qFormat/>
    <w:uiPriority w:val="0"/>
    <w:rPr>
      <w:rFonts w:cs="Times New Roman"/>
      <w:color w:val="1B227E"/>
      <w:u w:val="none"/>
    </w:rPr>
  </w:style>
  <w:style w:type="character" w:styleId="24">
    <w:name w:val="annotation reference"/>
    <w:semiHidden/>
    <w:qFormat/>
    <w:uiPriority w:val="0"/>
    <w:rPr>
      <w:rFonts w:cs="Times New Roman"/>
      <w:sz w:val="21"/>
      <w:szCs w:val="21"/>
    </w:rPr>
  </w:style>
  <w:style w:type="character" w:styleId="25">
    <w:name w:val="footnote reference"/>
    <w:semiHidden/>
    <w:qFormat/>
    <w:uiPriority w:val="0"/>
    <w:rPr>
      <w:rFonts w:cs="Times New Roman"/>
      <w:vertAlign w:val="superscript"/>
    </w:rPr>
  </w:style>
  <w:style w:type="paragraph" w:customStyle="1" w:styleId="26">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7">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8">
    <w:name w:val="修订1"/>
    <w:qFormat/>
    <w:uiPriority w:val="0"/>
    <w:rPr>
      <w:rFonts w:ascii="Times New Roman" w:hAnsi="Times New Roman" w:eastAsia="宋体" w:cs="Times New Roman"/>
      <w:kern w:val="2"/>
      <w:sz w:val="21"/>
      <w:szCs w:val="24"/>
      <w:lang w:val="en-US" w:eastAsia="zh-CN" w:bidi="ar-SA"/>
    </w:rPr>
  </w:style>
  <w:style w:type="paragraph" w:customStyle="1" w:styleId="29">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0">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2">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3">
    <w:name w:val="列出段落1"/>
    <w:basedOn w:val="1"/>
    <w:qFormat/>
    <w:uiPriority w:val="0"/>
    <w:pPr>
      <w:ind w:firstLine="420" w:firstLineChars="200"/>
    </w:pPr>
  </w:style>
  <w:style w:type="paragraph" w:customStyle="1" w:styleId="34">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5">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6">
    <w:name w:val="标题 1 字符"/>
    <w:link w:val="2"/>
    <w:qFormat/>
    <w:locked/>
    <w:uiPriority w:val="0"/>
    <w:rPr>
      <w:rFonts w:cs="Times New Roman"/>
      <w:b/>
      <w:bCs/>
      <w:kern w:val="44"/>
      <w:sz w:val="44"/>
      <w:szCs w:val="44"/>
    </w:rPr>
  </w:style>
  <w:style w:type="character" w:customStyle="1" w:styleId="37">
    <w:name w:val="正文文本缩进 字符"/>
    <w:link w:val="8"/>
    <w:qFormat/>
    <w:locked/>
    <w:uiPriority w:val="0"/>
    <w:rPr>
      <w:rFonts w:ascii="仿宋_GB2312" w:eastAsia="仿宋_GB2312" w:cs="Times New Roman"/>
      <w:kern w:val="2"/>
      <w:sz w:val="32"/>
    </w:rPr>
  </w:style>
  <w:style w:type="character" w:customStyle="1" w:styleId="38">
    <w:name w:val="标题 2 字符"/>
    <w:link w:val="3"/>
    <w:qFormat/>
    <w:locked/>
    <w:uiPriority w:val="0"/>
    <w:rPr>
      <w:rFonts w:ascii="宋体" w:eastAsia="宋体" w:cs="Times New Roman"/>
      <w:b/>
      <w:bCs/>
      <w:sz w:val="36"/>
      <w:szCs w:val="36"/>
    </w:rPr>
  </w:style>
  <w:style w:type="character" w:customStyle="1" w:styleId="39">
    <w:name w:val="正文文本缩进 3 字符"/>
    <w:link w:val="15"/>
    <w:qFormat/>
    <w:locked/>
    <w:uiPriority w:val="0"/>
    <w:rPr>
      <w:rFonts w:ascii="宋体" w:eastAsia="宋体" w:cs="Times New Roman"/>
      <w:sz w:val="21"/>
      <w:szCs w:val="21"/>
    </w:rPr>
  </w:style>
  <w:style w:type="character" w:customStyle="1" w:styleId="40">
    <w:name w:val="edited2"/>
    <w:qFormat/>
    <w:uiPriority w:val="0"/>
    <w:rPr>
      <w:rFonts w:cs="Times New Roman"/>
    </w:rPr>
  </w:style>
  <w:style w:type="character" w:customStyle="1" w:styleId="41">
    <w:name w:val="正文文本缩进 2 字符"/>
    <w:link w:val="11"/>
    <w:qFormat/>
    <w:locked/>
    <w:uiPriority w:val="0"/>
    <w:rPr>
      <w:rFonts w:ascii="仿宋_GB2312" w:eastAsia="仿宋_GB2312" w:cs="Times New Roman"/>
      <w:sz w:val="28"/>
    </w:rPr>
  </w:style>
  <w:style w:type="character" w:customStyle="1" w:styleId="42">
    <w:name w:val="high-light-bg4"/>
    <w:qFormat/>
    <w:uiPriority w:val="0"/>
    <w:rPr>
      <w:rFonts w:cs="Times New Roman"/>
    </w:rPr>
  </w:style>
  <w:style w:type="character" w:customStyle="1" w:styleId="43">
    <w:name w:val="纯文本 字符"/>
    <w:link w:val="9"/>
    <w:qFormat/>
    <w:locked/>
    <w:uiPriority w:val="0"/>
    <w:rPr>
      <w:rFonts w:ascii="宋体" w:hAnsi="Courier New" w:cs="Times New Roman"/>
      <w:kern w:val="2"/>
      <w:sz w:val="21"/>
    </w:rPr>
  </w:style>
  <w:style w:type="character" w:customStyle="1" w:styleId="44">
    <w:name w:val="批注文字 字符"/>
    <w:link w:val="6"/>
    <w:qFormat/>
    <w:locked/>
    <w:uiPriority w:val="0"/>
    <w:rPr>
      <w:rFonts w:ascii="Calibri" w:hAnsi="Calibri" w:cs="Calibri"/>
      <w:kern w:val="2"/>
      <w:sz w:val="21"/>
      <w:szCs w:val="21"/>
    </w:rPr>
  </w:style>
  <w:style w:type="character" w:customStyle="1" w:styleId="45">
    <w:name w:val="unnamed2"/>
    <w:qFormat/>
    <w:uiPriority w:val="0"/>
    <w:rPr>
      <w:rFonts w:cs="Times New Roman"/>
    </w:rPr>
  </w:style>
  <w:style w:type="character" w:customStyle="1" w:styleId="46">
    <w:name w:val="页眉 字符"/>
    <w:link w:val="14"/>
    <w:qFormat/>
    <w:locked/>
    <w:uiPriority w:val="0"/>
    <w:rPr>
      <w:rFonts w:cs="Times New Roman"/>
      <w:sz w:val="18"/>
      <w:szCs w:val="18"/>
    </w:rPr>
  </w:style>
  <w:style w:type="character" w:customStyle="1" w:styleId="47">
    <w:name w:val="日期 字符"/>
    <w:link w:val="10"/>
    <w:qFormat/>
    <w:locked/>
    <w:uiPriority w:val="0"/>
    <w:rPr>
      <w:rFonts w:cs="Times New Roman"/>
      <w:sz w:val="24"/>
      <w:szCs w:val="24"/>
    </w:rPr>
  </w:style>
  <w:style w:type="character" w:customStyle="1" w:styleId="48">
    <w:name w:val="正文文本 字符"/>
    <w:link w:val="7"/>
    <w:qFormat/>
    <w:locked/>
    <w:uiPriority w:val="0"/>
    <w:rPr>
      <w:rFonts w:eastAsia="仿宋_GB2312" w:cs="Times New Roman"/>
      <w:kern w:val="2"/>
      <w:sz w:val="28"/>
    </w:rPr>
  </w:style>
  <w:style w:type="character" w:customStyle="1" w:styleId="49">
    <w:name w:val="页脚 字符"/>
    <w:link w:val="13"/>
    <w:qFormat/>
    <w:locked/>
    <w:uiPriority w:val="99"/>
    <w:rPr>
      <w:rFonts w:cs="Times New Roman"/>
      <w:sz w:val="18"/>
      <w:szCs w:val="18"/>
    </w:rPr>
  </w:style>
  <w:style w:type="character" w:customStyle="1" w:styleId="50">
    <w:name w:val="文档结构图 字符"/>
    <w:link w:val="5"/>
    <w:qFormat/>
    <w:locked/>
    <w:uiPriority w:val="0"/>
    <w:rPr>
      <w:rFonts w:ascii="宋体" w:cs="Times New Roman"/>
      <w:sz w:val="18"/>
      <w:szCs w:val="18"/>
    </w:rPr>
  </w:style>
  <w:style w:type="character" w:customStyle="1" w:styleId="51">
    <w:name w:val="批注主题 字符"/>
    <w:link w:val="17"/>
    <w:semiHidden/>
    <w:qFormat/>
    <w:locked/>
    <w:uiPriority w:val="0"/>
    <w:rPr>
      <w:rFonts w:ascii="Calibri" w:hAnsi="Calibri" w:cs="Calibri"/>
      <w:b/>
      <w:bCs/>
      <w:kern w:val="2"/>
      <w:sz w:val="21"/>
      <w:szCs w:val="21"/>
    </w:rPr>
  </w:style>
  <w:style w:type="character" w:customStyle="1" w:styleId="52">
    <w:name w:val="批注框文本 字符"/>
    <w:link w:val="12"/>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18</Pages>
  <Words>2239</Words>
  <Characters>12765</Characters>
  <Lines>106</Lines>
  <Paragraphs>29</Paragraphs>
  <TotalTime>14</TotalTime>
  <ScaleCrop>false</ScaleCrop>
  <LinksUpToDate>false</LinksUpToDate>
  <CharactersWithSpaces>14975</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2020-06-25T00:11:00Z</dcterms:created>
  <dc:creator>LIU</dc:creator>
  <cp:lastModifiedBy>饭特臭</cp:lastModifiedBy>
  <cp:lastPrinted>2019-04-17T01:33:00Z</cp:lastPrinted>
  <dcterms:modified xsi:type="dcterms:W3CDTF">2020-11-30T07:31:53Z</dcterms:modified>
  <dc: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